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none" w:sz="0"/>
              <w:left w:val="none" w:sz="0"/>
              <w:bottom w:val="none" w:sz="0"/>
              <w:right w:val="none" w:sz="0"/>
            </w:tcBorders>
            <w:shd w:fill="1E3A42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spacing w:after="4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0"/>
                <w:szCs w:val="30"/>
              </w:rPr>
              <w:t xml:space="preserve">SAND Teacher &amp; LSA Alignment Tool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E8F4F6"/>
                <w:sz w:val="17"/>
                <w:szCs w:val="17"/>
              </w:rPr>
              <w:t xml:space="preserve">Getting on the same page – consistent support starts with shared understanding</w:t>
            </w:r>
          </w:p>
        </w:tc>
      </w:tr>
    </w:tbl>
    <w:p>
      <w:pPr>
        <w:spacing w:before="100" w:after="0"/>
      </w:pPr>
    </w:p>
    <w:p>
      <w:pPr>
        <w:spacing w:after="0"/>
      </w:pPr>
      <w:r>
        <w:rPr>
          <w:rFonts w:ascii="Arial" w:cs="Arial" w:eastAsia="Arial" w:hAnsi="Arial"/>
          <w:i/>
          <w:iCs/>
          <w:color w:val="555555"/>
          <w:sz w:val="17"/>
          <w:szCs w:val="17"/>
        </w:rPr>
        <w:t xml:space="preserve">This tool helps teachers and LSAs reflect together on a student’s behaviour and agree on a consistent approach. Complete it as a pair – ideally in a short 10–15 minute conversation.</w:t>
      </w:r>
    </w:p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8"/>
        <w:gridCol w:w="1744"/>
        <w:gridCol w:w="2617"/>
        <w:gridCol w:w="2617"/>
      </w:tblGrid>
      <w:tr>
        <w:tc>
          <w:tcPr>
            <w:tcW w:type="dxa" w:w="3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Student Name / Initials:</w:t>
            </w:r>
          </w:p>
        </w:tc>
        <w:tc>
          <w:tcPr>
            <w:tcW w:type="dxa" w:w="1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Year Group:</w:t>
            </w:r>
          </w:p>
        </w:tc>
        <w:tc>
          <w:tcPr>
            <w:tcW w:type="dxa" w:w="26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Teacher:</w:t>
            </w:r>
          </w:p>
        </w:tc>
        <w:tc>
          <w:tcPr>
            <w:tcW w:type="dxa" w:w="26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LSA:</w:t>
            </w:r>
          </w:p>
        </w:tc>
      </w:tr>
      <w:tr>
        <w:tc>
          <w:tcPr>
            <w:tcW w:type="dxa" w:w="348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617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Date:</w:t>
            </w:r>
          </w:p>
        </w:tc>
        <w:tc>
          <w:tcPr>
            <w:tcW w:type="dxa" w:w="523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Review Date:</w:t>
            </w:r>
          </w:p>
        </w:tc>
      </w:tr>
      <w:tr>
        <w:tc>
          <w:tcPr>
            <w:tcW w:type="dxa" w:w="523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523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80"/>
              <w:right w:type="dxa" w:w="11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>Section 1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What Are We Seeing?</w:t>
            </w:r>
          </w:p>
        </w:tc>
      </w:tr>
    </w:tbl>
    <w:p>
      <w:pPr>
        <w:spacing w:before="5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What behaviour is happening? When? Where?</w:t>
            </w:r>
          </w:p>
          <w:p>
            <w:pPr>
              <w:spacing w:before="1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Describe what you both observe – not interpretations, just what you see.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0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>Section 2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What Might It Be Communicating?</w:t>
            </w:r>
          </w:p>
        </w:tc>
      </w:tr>
    </w:tbl>
    <w:p>
      <w:pPr>
        <w:spacing w:before="5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Using the SAND lens – what need might be underneath?</w:t>
            </w:r>
          </w:p>
          <w:p>
            <w:pPr>
              <w:spacing w:before="1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Regulation? Communication? Connection? Control? Something else?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0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>Section 3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What Are We Currently Doing?</w:t>
            </w:r>
          </w:p>
        </w:tc>
      </w:tr>
    </w:tbl>
    <w:p>
      <w:pPr>
        <w:spacing w:before="5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233"/>
        <w:gridCol w:w="5233"/>
      </w:tblGrid>
      <w:tr>
        <w:tc>
          <w:tcPr>
            <w:tcW w:type="dxa" w:w="5233"/>
            <w:tcBorders>
              <w:top w:val="single" w:color="2A7B88" w:sz="2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A7B88"/>
                <w:sz w:val="16"/>
                <w:szCs w:val="16"/>
              </w:rPr>
              <w:t xml:space="preserve">Teacher’s Current Approach</w:t>
            </w:r>
          </w:p>
        </w:tc>
        <w:tc>
          <w:tcPr>
            <w:tcW w:type="dxa" w:w="5233"/>
            <w:tcBorders>
              <w:top w:val="single" w:color="D4A574" w:sz="2"/>
              <w:left w:val="single" w:color="CCCCCC" w:sz="1"/>
              <w:bottom w:val="single" w:color="CCCCCC" w:sz="1"/>
              <w:right w:val="single" w:color="CCCCCC" w:sz="1"/>
            </w:tcBorders>
            <w:shd w:fill="FDF2E9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574"/>
                <w:sz w:val="16"/>
                <w:szCs w:val="16"/>
              </w:rPr>
              <w:t xml:space="preserve">LSA’s Current Approach</w:t>
            </w:r>
          </w:p>
        </w:tc>
      </w:tr>
      <w:tr>
        <w:tc>
          <w:tcPr>
            <w:tcW w:type="dxa" w:w="5233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  <w:tc>
          <w:tcPr>
            <w:tcW w:type="dxa" w:w="5233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0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>Section 4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Where Are We Aligned? Where Do We Differ?</w:t>
            </w:r>
          </w:p>
        </w:tc>
      </w:tr>
    </w:tbl>
    <w:p>
      <w:pPr>
        <w:spacing w:before="5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What are we both doing well? Where are our responses different?</w:t>
            </w:r>
          </w:p>
          <w:p>
            <w:pPr>
              <w:spacing w:before="1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Differences aren’t failures – they’re information. The goal is consistency, not perfection.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r>
        <w:br w:type="page"/>
      </w: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>Section 5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What Do We Agree To Try?</w:t>
            </w:r>
          </w:p>
        </w:tc>
      </w:tr>
    </w:tbl>
    <w:p>
      <w:pPr>
        <w:spacing w:before="5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88"/>
        <w:gridCol w:w="3488"/>
        <w:gridCol w:w="3490"/>
      </w:tblGrid>
      <w:tr>
        <w:tc>
          <w:tcPr>
            <w:tcW w:type="dxa" w:w="3488"/>
            <w:tcBorders>
              <w:top w:val="single" w:color="2C3E50" w:sz="2"/>
              <w:left w:val="single" w:color="CCCCCC" w:sz="1"/>
              <w:bottom w:val="single" w:color="CCCCCC" w:sz="1"/>
              <w:right w:val="single" w:color="CCCCCC" w:sz="1"/>
            </w:tcBorders>
            <w:shd w:fill="EBEDEF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C3E50"/>
                <w:sz w:val="16"/>
                <w:szCs w:val="16"/>
              </w:rPr>
              <w:t xml:space="preserve">Prevention</w:t>
            </w:r>
          </w:p>
        </w:tc>
        <w:tc>
          <w:tcPr>
            <w:tcW w:type="dxa" w:w="3488"/>
            <w:tcBorders>
              <w:top w:val="single" w:color="2A7B88" w:sz="2"/>
              <w:left w:val="single" w:color="CCCCCC" w:sz="1"/>
              <w:bottom w:val="single" w:color="CCCCCC" w:sz="1"/>
              <w:right w:val="single" w:color="CCCCCC" w:sz="1"/>
            </w:tcBorders>
            <w:shd w:fill="E8F4F6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A7B88"/>
                <w:sz w:val="16"/>
                <w:szCs w:val="16"/>
              </w:rPr>
              <w:t xml:space="preserve">In the Moment</w:t>
            </w:r>
          </w:p>
        </w:tc>
        <w:tc>
          <w:tcPr>
            <w:tcW w:type="dxa" w:w="3490"/>
            <w:tcBorders>
              <w:top w:val="single" w:color="D4A574" w:sz="2"/>
              <w:left w:val="single" w:color="CCCCCC" w:sz="1"/>
              <w:bottom w:val="single" w:color="CCCCCC" w:sz="1"/>
              <w:right w:val="single" w:color="CCCCCC" w:sz="1"/>
            </w:tcBorders>
            <w:shd w:fill="F5E6D3" w:val="clear"/>
            <w:tcMar>
              <w:top w:type="dxa" w:w="50"/>
              <w:left w:type="dxa" w:w="100"/>
              <w:bottom w:type="dxa" w:w="5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D4A574"/>
                <w:sz w:val="16"/>
                <w:szCs w:val="16"/>
              </w:rPr>
              <w:t xml:space="preserve">Recovery / Repair</w:t>
            </w:r>
          </w:p>
        </w:tc>
      </w:tr>
      <w:tr>
        <w:tc>
          <w:tcPr>
            <w:tcW w:type="dxa" w:w="3488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00"/>
              <w:bottom w:type="dxa" w:w="50"/>
              <w:right w:type="dxa" w:w="10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4"/>
                <w:szCs w:val="14"/>
              </w:rPr>
              <w:t xml:space="preserve">What will we put in place to reduce difficulty?</w:t>
            </w: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  <w:tc>
          <w:tcPr>
            <w:tcW w:type="dxa" w:w="3488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00"/>
              <w:bottom w:type="dxa" w:w="50"/>
              <w:right w:type="dxa" w:w="10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4"/>
                <w:szCs w:val="14"/>
              </w:rPr>
              <w:t xml:space="preserve">What will we both do when the behaviour happens?</w:t>
            </w: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  <w:tc>
          <w:tcPr>
            <w:tcW w:type="dxa" w:w="3490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00"/>
              <w:bottom w:type="dxa" w:w="50"/>
              <w:right w:type="dxa" w:w="100"/>
            </w:tcMar>
          </w:tcPr>
          <w:p>
            <w:pPr>
              <w:spacing w:after="30"/>
            </w:pPr>
            <w:r>
              <w:rPr>
                <w:rFonts w:ascii="Arial" w:cs="Arial" w:eastAsia="Arial" w:hAnsi="Arial"/>
                <w:i/>
                <w:iCs/>
                <w:color w:val="888888"/>
                <w:sz w:val="14"/>
                <w:szCs w:val="14"/>
              </w:rPr>
              <w:t xml:space="preserve">How will we reconnect and restore safety?</w:t>
            </w: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0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>Section 6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Roles &amp; Responsibilities</w:t>
            </w:r>
          </w:p>
        </w:tc>
      </w:tr>
    </w:tbl>
    <w:p>
      <w:pPr>
        <w:spacing w:before="5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What is the teacher’s role in this plan?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What is the LSA’s role in this plan?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Who else needs to know? (SENCO, parents, other staff)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0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3"/>
              <w:left w:val="none" w:sz="0"/>
              <w:bottom w:val="none" w:sz="0"/>
              <w:right w:val="none" w:sz="0"/>
            </w:tcBorders>
            <w:tcMar>
              <w:top w:type="dxa" w:w="80"/>
              <w:left w:type="dxa" w:w="0"/>
              <w:bottom w:type="dxa" w:w="40"/>
              <w:right w:type="dxa" w:w="0"/>
            </w:tcMar>
          </w:tcPr>
          <w:p>
            <w:r>
              <w:rPr>
                <w:rFonts w:ascii="Arial" w:cs="Arial" w:eastAsia="Arial" w:hAnsi="Arial"/>
                <w:color w:val="2A7B88"/>
                <w:sz w:val="19"/>
                <w:szCs w:val="19"/>
              </w:rPr>
              <w:t xml:space="preserve">Section 7 – </w:t>
            </w:r>
            <w:r>
              <w:rPr>
                <w:rFonts w:ascii="Arial" w:cs="Arial" w:eastAsia="Arial" w:hAnsi="Arial"/>
                <w:b/>
                <w:bCs/>
                <w:color w:val="1E3A42"/>
                <w:sz w:val="19"/>
                <w:szCs w:val="19"/>
              </w:rPr>
              <w:t xml:space="preserve">Review</w:t>
            </w:r>
          </w:p>
        </w:tc>
      </w:tr>
    </w:tbl>
    <w:p>
      <w:pPr>
        <w:spacing w:before="5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CCCCCC" w:sz="1"/>
              <w:left w:val="single" w:color="CCCCCC" w:sz="1"/>
              <w:bottom w:val="none" w:sz="0"/>
              <w:right w:val="single" w:color="CCCCCC" w:sz="1"/>
            </w:tcBorders>
            <w:shd w:fill="F7F7F5" w:val="clear"/>
            <w:tcMar>
              <w:top w:type="dxa" w:w="50"/>
              <w:left w:type="dxa" w:w="110"/>
              <w:bottom w:type="dxa" w:w="50"/>
              <w:right w:type="dxa" w:w="110"/>
            </w:tcMar>
          </w:tcPr>
          <w:p>
            <w:r>
              <w:rPr>
                <w:rFonts w:ascii="Arial" w:cs="Arial" w:eastAsia="Arial" w:hAnsi="Arial"/>
                <w:b/>
                <w:bCs/>
                <w:color w:val="1E3A42"/>
                <w:sz w:val="17"/>
                <w:szCs w:val="17"/>
              </w:rPr>
              <w:t xml:space="preserve">When will we review this? What does progress look like?</w:t>
            </w:r>
          </w:p>
          <w:p>
            <w:pPr>
              <w:spacing w:before="10"/>
            </w:pPr>
            <w:r>
              <w:rPr>
                <w:rFonts w:ascii="Arial" w:cs="Arial" w:eastAsia="Arial" w:hAnsi="Arial"/>
                <w:i/>
                <w:iCs/>
                <w:color w:val="888888"/>
                <w:sz w:val="15"/>
                <w:szCs w:val="15"/>
              </w:rPr>
              <w:t xml:space="preserve">Even small changes count. What will we look for?</w:t>
            </w:r>
          </w:p>
        </w:tc>
      </w:tr>
      <w:tr>
        <w:tc>
          <w:tcPr>
            <w:tcW w:type="dxa" w:w="10466"/>
            <w:tcBorders>
              <w:top w:val="none" w:sz="0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30"/>
              <w:left w:type="dxa" w:w="110"/>
              <w:bottom w:type="dxa" w:w="50"/>
              <w:right w:type="dxa" w:w="110"/>
            </w:tcMar>
          </w:tcPr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  <w:p>
            <w:pPr>
              <w:pBdr>
                <w:bottom w:val="single" w:color="DDDDDD" w:sz="1" w:space="1"/>
              </w:pBdr>
              <w:spacing w:after="0"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  <w:p>
            <w:pPr>
              <w:spacing w:after="180"/>
            </w:pPr>
          </w:p>
        </w:tc>
      </w:tr>
    </w:tbl>
    <w:p>
      <w:pPr>
        <w:spacing w:before="140" w:after="0"/>
      </w:pPr>
    </w:p>
    <w:tbl>
      <w:tblPr>
        <w:tblW w:type="dxa" w:w="1046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466"/>
      </w:tblGrid>
      <w:tr>
        <w:tc>
          <w:tcPr>
            <w:tcW w:type="dxa" w:w="10466"/>
            <w:tcBorders>
              <w:top w:val="single" w:color="2A7B88" w:sz="2"/>
              <w:left w:val="single" w:color="2A7B88" w:sz="2"/>
              <w:bottom w:val="single" w:color="2A7B88" w:sz="2"/>
              <w:right w:val="single" w:color="2A7B88" w:sz="2"/>
            </w:tcBorders>
            <w:shd w:fill="E8F4F6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2A7B88"/>
                <w:sz w:val="17"/>
                <w:szCs w:val="17"/>
              </w:rPr>
              <w:t xml:space="preserve">Behaviour is communication. </w:t>
            </w:r>
            <w:r>
              <w:rPr>
                <w:rFonts w:ascii="Arial" w:cs="Arial" w:eastAsia="Arial" w:hAnsi="Arial"/>
                <w:i/>
                <w:iCs/>
                <w:color w:val="555555"/>
                <w:sz w:val="17"/>
                <w:szCs w:val="17"/>
              </w:rPr>
              <w:t xml:space="preserve">When we look and listen, we begin to understand the voice behind it.</w:t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3"/>
        <w:szCs w:val="13"/>
      </w:rPr>
      <w:t xml:space="preserve">© SAND Resources | Support • Assist • Nurture • Development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2A7B88"/>
        <w:sz w:val="15"/>
        <w:szCs w:val="15"/>
      </w:rPr>
      <w:t xml:space="preserve">SAND Resources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2026-03-12T07:48:02.824Z</dcterms:created>
  <dcterms:modified xsi:type="dcterms:W3CDTF">2026-03-12T07:48:02.824Z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